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776D"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 xml:space="preserve">ix </w:t>
      </w:r>
      <w:r w:rsidR="00915591">
        <w:rPr>
          <w:rFonts w:cstheme="minorHAnsi"/>
          <w:b/>
          <w:bCs/>
          <w:color w:val="5F497A" w:themeColor="accent4" w:themeShade="BF"/>
          <w:sz w:val="28"/>
          <w:szCs w:val="28"/>
        </w:rPr>
        <w:t>Raad van Commissarissen en/of Raad van Toezicht</w:t>
      </w:r>
    </w:p>
    <w:p w14:paraId="04637096" w14:textId="77777777" w:rsidR="00195673" w:rsidRPr="003C2669" w:rsidRDefault="00195673">
      <w:pPr>
        <w:rPr>
          <w:rFonts w:cstheme="minorHAnsi"/>
          <w:color w:val="5F497A" w:themeColor="accent4" w:themeShade="BF"/>
          <w:sz w:val="24"/>
          <w:szCs w:val="24"/>
        </w:rPr>
      </w:pPr>
    </w:p>
    <w:p w14:paraId="75E2D1C0"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 xml:space="preserve">De </w:t>
      </w:r>
      <w:r w:rsidR="00915591">
        <w:rPr>
          <w:rFonts w:cstheme="minorHAnsi"/>
          <w:color w:val="5F497A" w:themeColor="accent4" w:themeShade="BF"/>
          <w:sz w:val="24"/>
          <w:szCs w:val="24"/>
        </w:rPr>
        <w:t>leden van de Raad van Commissarissen en/of Raad van Toezicht</w:t>
      </w:r>
      <w:r w:rsidRPr="003C2669">
        <w:rPr>
          <w:rFonts w:cstheme="minorHAnsi"/>
          <w:color w:val="5F497A" w:themeColor="accent4" w:themeShade="BF"/>
          <w:sz w:val="24"/>
          <w:szCs w:val="24"/>
        </w:rPr>
        <w:t xml:space="preserve"> van financiële ondernemingen </w:t>
      </w:r>
      <w:r w:rsidR="00915591">
        <w:rPr>
          <w:rFonts w:cstheme="minorHAnsi"/>
          <w:color w:val="5F497A" w:themeColor="accent4" w:themeShade="BF"/>
          <w:sz w:val="24"/>
          <w:szCs w:val="24"/>
        </w:rPr>
        <w:t xml:space="preserve">(de toezichthouders) </w:t>
      </w:r>
      <w:r w:rsidRPr="003C2669">
        <w:rPr>
          <w:rFonts w:cstheme="minorHAnsi"/>
          <w:color w:val="5F497A" w:themeColor="accent4" w:themeShade="BF"/>
          <w:sz w:val="24"/>
          <w:szCs w:val="24"/>
        </w:rPr>
        <w:t>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1995B9D9"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w:t>
      </w:r>
      <w:r w:rsidR="00915591">
        <w:rPr>
          <w:rFonts w:cstheme="minorHAnsi"/>
          <w:color w:val="5F497A" w:themeColor="accent4" w:themeShade="BF"/>
          <w:sz w:val="24"/>
          <w:szCs w:val="24"/>
        </w:rPr>
        <w:t>toezichthouders</w:t>
      </w:r>
      <w:r w:rsidRPr="0010674D">
        <w:rPr>
          <w:rFonts w:cstheme="minorHAnsi"/>
          <w:color w:val="5F497A" w:themeColor="accent4" w:themeShade="BF"/>
          <w:sz w:val="24"/>
          <w:szCs w:val="24"/>
        </w:rPr>
        <w:t xml:space="preserve">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2007807E"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w:t>
      </w:r>
      <w:r w:rsidR="00915591">
        <w:rPr>
          <w:rFonts w:cstheme="minorHAnsi"/>
          <w:color w:val="5F497A" w:themeColor="accent4" w:themeShade="BF"/>
          <w:sz w:val="24"/>
          <w:szCs w:val="24"/>
        </w:rPr>
        <w:t>toezichthouder</w:t>
      </w:r>
      <w:r w:rsidR="004309CB" w:rsidRPr="003C2669">
        <w:rPr>
          <w:rFonts w:cstheme="minorHAnsi"/>
          <w:color w:val="5F497A" w:themeColor="accent4" w:themeShade="BF"/>
          <w:sz w:val="24"/>
          <w:szCs w:val="24"/>
        </w:rPr>
        <w:t xml:space="preserve"> onvoldoende duidelijk wordt. </w:t>
      </w:r>
    </w:p>
    <w:p w14:paraId="5AD92043"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56B796E9"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verdeeld zijn.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w:t>
      </w:r>
      <w:r w:rsidR="00915591">
        <w:rPr>
          <w:rFonts w:cstheme="minorHAnsi"/>
          <w:color w:val="5F497A" w:themeColor="accent4" w:themeShade="BF"/>
          <w:sz w:val="24"/>
          <w:szCs w:val="24"/>
        </w:rPr>
        <w:t>houdt</w:t>
      </w:r>
      <w:r w:rsidR="005C0DEE">
        <w:rPr>
          <w:rFonts w:cstheme="minorHAnsi"/>
          <w:color w:val="5F497A" w:themeColor="accent4" w:themeShade="BF"/>
          <w:sz w:val="24"/>
          <w:szCs w:val="24"/>
        </w:rPr>
        <w:t xml:space="preserve"> </w:t>
      </w:r>
      <w:r w:rsidRPr="003C2669">
        <w:rPr>
          <w:rFonts w:cstheme="minorHAnsi"/>
          <w:color w:val="5F497A" w:themeColor="accent4" w:themeShade="BF"/>
          <w:sz w:val="24"/>
          <w:szCs w:val="24"/>
        </w:rPr>
        <w:t xml:space="preserve">gezamenlijk </w:t>
      </w:r>
      <w:r w:rsidR="00915591">
        <w:rPr>
          <w:rFonts w:cstheme="minorHAnsi"/>
          <w:color w:val="5F497A" w:themeColor="accent4" w:themeShade="BF"/>
          <w:sz w:val="24"/>
          <w:szCs w:val="24"/>
        </w:rPr>
        <w:t>toezicht op de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5C254A0D"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1D96B3A9"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w:t>
      </w:r>
      <w:r w:rsidR="00915591">
        <w:rPr>
          <w:b/>
          <w:color w:val="5F497A" w:themeColor="accent4" w:themeShade="BF"/>
          <w:sz w:val="28"/>
          <w:szCs w:val="28"/>
        </w:rPr>
        <w:t>ix verdeling aandachtsgebieden RvC/RvT</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w:t>
      </w:r>
    </w:p>
    <w:p w14:paraId="39771331"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45D5173D" w14:textId="77777777" w:rsidTr="007D1722">
        <w:trPr>
          <w:trHeight w:val="611"/>
        </w:trPr>
        <w:tc>
          <w:tcPr>
            <w:tcW w:w="3969" w:type="dxa"/>
            <w:vAlign w:val="center"/>
          </w:tcPr>
          <w:p w14:paraId="28280C81" w14:textId="77777777"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dor wat niet van toepassing is</w:t>
            </w:r>
          </w:p>
        </w:tc>
        <w:tc>
          <w:tcPr>
            <w:tcW w:w="1990" w:type="dxa"/>
            <w:vAlign w:val="center"/>
          </w:tcPr>
          <w:p w14:paraId="23747234"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454DF75A"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5B1715F4"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1FB21ED0"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0F54DDFE"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6E355439" w14:textId="77777777" w:rsidTr="007D1722">
        <w:trPr>
          <w:trHeight w:val="421"/>
        </w:trPr>
        <w:tc>
          <w:tcPr>
            <w:tcW w:w="3969" w:type="dxa"/>
            <w:vAlign w:val="center"/>
          </w:tcPr>
          <w:p w14:paraId="1AE96152"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0647385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754857B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735ABF1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7B6259B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07193C9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DDB92A9" w14:textId="77777777" w:rsidTr="007D1722">
        <w:trPr>
          <w:trHeight w:val="428"/>
        </w:trPr>
        <w:tc>
          <w:tcPr>
            <w:tcW w:w="3969" w:type="dxa"/>
            <w:vAlign w:val="center"/>
          </w:tcPr>
          <w:p w14:paraId="0EED0ED6"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375EF29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508D9CA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63C011B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5A7502F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55FF4A8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2F052DC" w14:textId="77777777" w:rsidTr="007D1722">
        <w:trPr>
          <w:trHeight w:val="406"/>
        </w:trPr>
        <w:tc>
          <w:tcPr>
            <w:tcW w:w="3969" w:type="dxa"/>
            <w:vAlign w:val="center"/>
          </w:tcPr>
          <w:p w14:paraId="2B9620E8"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3979310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7959F39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0AE1D35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1475D6E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07C1052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FDF5341" w14:textId="77777777" w:rsidTr="007D1722">
        <w:trPr>
          <w:trHeight w:val="425"/>
        </w:trPr>
        <w:tc>
          <w:tcPr>
            <w:tcW w:w="3969" w:type="dxa"/>
            <w:vAlign w:val="center"/>
          </w:tcPr>
          <w:p w14:paraId="28A78EA6"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3F18502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22C76D1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57B1CAE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5AC2B45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7A8C9FE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CF78277" w14:textId="77777777" w:rsidTr="007D1722">
        <w:trPr>
          <w:trHeight w:val="425"/>
        </w:trPr>
        <w:tc>
          <w:tcPr>
            <w:tcW w:w="3969" w:type="dxa"/>
            <w:vAlign w:val="center"/>
          </w:tcPr>
          <w:p w14:paraId="3589EC02"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072FEB4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5461175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BC9790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6B3547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761634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F226D79" w14:textId="77777777" w:rsidTr="007D1722">
        <w:trPr>
          <w:trHeight w:val="404"/>
        </w:trPr>
        <w:tc>
          <w:tcPr>
            <w:tcW w:w="3969" w:type="dxa"/>
            <w:vAlign w:val="center"/>
          </w:tcPr>
          <w:p w14:paraId="4E54EA45"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AAC272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966744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5A86DC3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02BA4A4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3FC1212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7A4EB6C" w14:textId="77777777" w:rsidTr="007D1722">
        <w:trPr>
          <w:trHeight w:val="424"/>
        </w:trPr>
        <w:tc>
          <w:tcPr>
            <w:tcW w:w="3969" w:type="dxa"/>
            <w:vAlign w:val="center"/>
          </w:tcPr>
          <w:p w14:paraId="16CEBFA8"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149B5DE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76D766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D63217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4F07648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69A7DBB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25A3F74" w14:textId="77777777" w:rsidTr="007D1722">
        <w:trPr>
          <w:trHeight w:val="402"/>
        </w:trPr>
        <w:tc>
          <w:tcPr>
            <w:tcW w:w="3969" w:type="dxa"/>
            <w:vAlign w:val="center"/>
          </w:tcPr>
          <w:p w14:paraId="3CE8764F"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3D0F9A0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1A93E2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3652A27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1B30C35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38C1EAD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ACDFA7D" w14:textId="77777777" w:rsidTr="007D1722">
        <w:trPr>
          <w:trHeight w:val="407"/>
        </w:trPr>
        <w:tc>
          <w:tcPr>
            <w:tcW w:w="3969" w:type="dxa"/>
            <w:vAlign w:val="center"/>
          </w:tcPr>
          <w:p w14:paraId="5B40EB5A"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6491CD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4897474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6E968B1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2062ED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0E4A132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BFB75BB" w14:textId="77777777" w:rsidTr="007D1722">
        <w:trPr>
          <w:trHeight w:val="407"/>
        </w:trPr>
        <w:tc>
          <w:tcPr>
            <w:tcW w:w="3969" w:type="dxa"/>
            <w:vAlign w:val="center"/>
          </w:tcPr>
          <w:p w14:paraId="5B0F6B25"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798E4D3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6334607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6B648A7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0B20F90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0AFD8C4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D2DD3DD" w14:textId="77777777" w:rsidTr="007D1722">
        <w:trPr>
          <w:trHeight w:val="434"/>
        </w:trPr>
        <w:tc>
          <w:tcPr>
            <w:tcW w:w="3969" w:type="dxa"/>
            <w:vAlign w:val="center"/>
          </w:tcPr>
          <w:p w14:paraId="38E05D07"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125DA4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D6C07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474255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16C8E9E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34C1E2F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052DE32" w14:textId="77777777" w:rsidTr="00AE0FDB">
        <w:trPr>
          <w:trHeight w:val="480"/>
        </w:trPr>
        <w:tc>
          <w:tcPr>
            <w:tcW w:w="3969" w:type="dxa"/>
            <w:vAlign w:val="center"/>
          </w:tcPr>
          <w:p w14:paraId="3225717E"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617FCF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7F37359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040F8BB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6370C02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77897B7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36230D24" w14:textId="77777777" w:rsidR="00127083" w:rsidRDefault="00127083" w:rsidP="00E21A9F">
      <w:pPr>
        <w:rPr>
          <w:b/>
          <w:color w:val="330066"/>
          <w:sz w:val="28"/>
          <w:szCs w:val="28"/>
        </w:rPr>
      </w:pPr>
    </w:p>
    <w:p w14:paraId="79BBE3FC"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2A9DAC79" w14:textId="77777777" w:rsidTr="00FC1FF6">
        <w:trPr>
          <w:trHeight w:val="3608"/>
        </w:trPr>
        <w:tc>
          <w:tcPr>
            <w:tcW w:w="14429" w:type="dxa"/>
          </w:tcPr>
          <w:p w14:paraId="38262672" w14:textId="77777777" w:rsidR="00E21A9F" w:rsidRDefault="00E21A9F" w:rsidP="00FC1FF6">
            <w:pPr>
              <w:rPr>
                <w:color w:val="330066"/>
                <w:sz w:val="20"/>
              </w:rPr>
            </w:pPr>
          </w:p>
        </w:tc>
      </w:tr>
    </w:tbl>
    <w:p w14:paraId="32E6F7FD" w14:textId="77777777" w:rsidR="00AE0FDB" w:rsidRDefault="00AE0FDB" w:rsidP="003F3102">
      <w:pPr>
        <w:rPr>
          <w:b/>
          <w:color w:val="330066"/>
          <w:sz w:val="28"/>
          <w:szCs w:val="28"/>
        </w:rPr>
      </w:pPr>
    </w:p>
    <w:p w14:paraId="4A8FD9CD" w14:textId="77777777" w:rsidR="00AE0FDB" w:rsidRDefault="00AE0FDB">
      <w:pPr>
        <w:rPr>
          <w:b/>
          <w:color w:val="330066"/>
          <w:sz w:val="28"/>
          <w:szCs w:val="28"/>
        </w:rPr>
      </w:pPr>
      <w:r>
        <w:rPr>
          <w:b/>
          <w:color w:val="330066"/>
          <w:sz w:val="28"/>
          <w:szCs w:val="28"/>
        </w:rPr>
        <w:br w:type="page"/>
      </w:r>
    </w:p>
    <w:p w14:paraId="68B42B33" w14:textId="61C480D8" w:rsidR="00A13E43" w:rsidRPr="00AE0FDB" w:rsidRDefault="00E21A9F" w:rsidP="003F3102">
      <w:pPr>
        <w:rPr>
          <w:b/>
          <w:color w:val="330066"/>
          <w:sz w:val="28"/>
          <w:szCs w:val="28"/>
        </w:rPr>
      </w:pPr>
      <w:r>
        <w:rPr>
          <w:b/>
          <w:color w:val="330066"/>
          <w:sz w:val="28"/>
          <w:szCs w:val="28"/>
        </w:rPr>
        <w:lastRenderedPageBreak/>
        <w:t xml:space="preserve">Matrix kennis en ervaring per </w:t>
      </w:r>
      <w:r w:rsidR="009A01C8">
        <w:rPr>
          <w:b/>
          <w:color w:val="330066"/>
          <w:sz w:val="28"/>
          <w:szCs w:val="28"/>
        </w:rPr>
        <w:t>toezichthouder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9A01C8">
        <w:rPr>
          <w:rFonts w:cstheme="minorHAnsi"/>
          <w:i/>
          <w:color w:val="5F497A" w:themeColor="accent4" w:themeShade="BF"/>
          <w:sz w:val="24"/>
          <w:szCs w:val="24"/>
        </w:rPr>
        <w:t>per toezichthouder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915591">
        <w:rPr>
          <w:rFonts w:cstheme="minorHAnsi"/>
          <w:i/>
          <w:color w:val="5F497A" w:themeColor="accent4" w:themeShade="BF"/>
          <w:sz w:val="24"/>
          <w:szCs w:val="24"/>
        </w:rPr>
        <w:t>toezichthouder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5052FE">
        <w:rPr>
          <w:rFonts w:cstheme="minorHAnsi"/>
          <w:i/>
          <w:color w:val="5F497A" w:themeColor="accent4" w:themeShade="BF"/>
          <w:sz w:val="24"/>
          <w:szCs w:val="24"/>
        </w:rPr>
        <w:t>9</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48E21432" w14:textId="77777777" w:rsidTr="00E21A9F">
        <w:tc>
          <w:tcPr>
            <w:tcW w:w="6345" w:type="dxa"/>
          </w:tcPr>
          <w:p w14:paraId="62EA3C89"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4F213B0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CAD9820" w14:textId="77777777" w:rsidTr="00E21A9F">
        <w:trPr>
          <w:trHeight w:val="188"/>
        </w:trPr>
        <w:tc>
          <w:tcPr>
            <w:tcW w:w="6345" w:type="dxa"/>
          </w:tcPr>
          <w:p w14:paraId="242D92CA"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036513F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sidR="00915591">
              <w:rPr>
                <w:rFonts w:ascii="Arial" w:hAnsi="Arial" w:cs="Arial"/>
                <w:color w:val="5F497A" w:themeColor="accent4" w:themeShade="BF"/>
                <w:sz w:val="16"/>
                <w:szCs w:val="16"/>
              </w:rPr>
              <w:t xml:space="preserve"> of afdeling</w:t>
            </w:r>
          </w:p>
          <w:p w14:paraId="57BAE61B"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381A86A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385EAB6" w14:textId="77777777" w:rsidTr="00E21A9F">
        <w:trPr>
          <w:trHeight w:val="188"/>
        </w:trPr>
        <w:tc>
          <w:tcPr>
            <w:tcW w:w="6345" w:type="dxa"/>
          </w:tcPr>
          <w:p w14:paraId="5AB1F870"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7894C16B"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DCD12D0"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3F57B9F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2D753F0" w14:textId="77777777" w:rsidTr="00E21A9F">
        <w:tc>
          <w:tcPr>
            <w:tcW w:w="6345" w:type="dxa"/>
          </w:tcPr>
          <w:p w14:paraId="638A0183"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4068DDA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sidR="00915591">
              <w:rPr>
                <w:rFonts w:ascii="Arial" w:hAnsi="Arial" w:cs="Arial"/>
                <w:bCs/>
                <w:color w:val="5F497A" w:themeColor="accent4" w:themeShade="BF"/>
                <w:sz w:val="16"/>
                <w:szCs w:val="16"/>
              </w:rPr>
              <w:t>ervaring met het toezicht houden op het bestuur</w:t>
            </w:r>
          </w:p>
          <w:p w14:paraId="120CFC95"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1742A59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388D7A8" w14:textId="77777777" w:rsidTr="00E21A9F">
        <w:tc>
          <w:tcPr>
            <w:tcW w:w="6345" w:type="dxa"/>
          </w:tcPr>
          <w:p w14:paraId="49BC2655"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217665E"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6BEF5AB"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46E392F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FB2FB91" w14:textId="77777777" w:rsidTr="00E21A9F">
        <w:tc>
          <w:tcPr>
            <w:tcW w:w="6345" w:type="dxa"/>
          </w:tcPr>
          <w:p w14:paraId="53C61309"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70D5134A"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3951E19D"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154914E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E0DA7B3" w14:textId="77777777" w:rsidTr="00E21A9F">
        <w:tc>
          <w:tcPr>
            <w:tcW w:w="6345" w:type="dxa"/>
          </w:tcPr>
          <w:p w14:paraId="0069BEE0"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73CC38A4"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CA5DE4B"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24DCF1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56BAFB6" w14:textId="77777777" w:rsidTr="00E21A9F">
        <w:tc>
          <w:tcPr>
            <w:tcW w:w="6345" w:type="dxa"/>
          </w:tcPr>
          <w:p w14:paraId="6CE766C7"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045ECEAB"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sidR="00267B36">
              <w:rPr>
                <w:rFonts w:ascii="Arial" w:hAnsi="Arial" w:cs="Arial"/>
                <w:bCs/>
                <w:color w:val="5F497A" w:themeColor="accent4" w:themeShade="BF"/>
                <w:sz w:val="16"/>
                <w:szCs w:val="16"/>
              </w:rPr>
              <w:t xml:space="preserve"> en is in staat het bestuur hierop kritisch te bevragen</w:t>
            </w:r>
          </w:p>
          <w:p w14:paraId="442B18AA"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445E017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B408F3A" w14:textId="77777777" w:rsidTr="00E21A9F">
        <w:tc>
          <w:tcPr>
            <w:tcW w:w="6345" w:type="dxa"/>
          </w:tcPr>
          <w:p w14:paraId="6F40C5C3"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2EFB238"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094C2D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4604A52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3CF568E" w14:textId="77777777" w:rsidTr="00E21A9F">
        <w:tc>
          <w:tcPr>
            <w:tcW w:w="6345" w:type="dxa"/>
          </w:tcPr>
          <w:p w14:paraId="36C3778B"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03CDD050"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09BD451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3D1117E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F1D4309" w14:textId="77777777" w:rsidTr="00E21A9F">
        <w:tc>
          <w:tcPr>
            <w:tcW w:w="6345" w:type="dxa"/>
          </w:tcPr>
          <w:p w14:paraId="54386A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1360D6E0"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51FFE0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37623F2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C5665A7" w14:textId="77777777" w:rsidTr="00E21A9F">
        <w:trPr>
          <w:trHeight w:val="708"/>
        </w:trPr>
        <w:tc>
          <w:tcPr>
            <w:tcW w:w="6345" w:type="dxa"/>
          </w:tcPr>
          <w:p w14:paraId="30A18CE2"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40A6810F"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4EB1F6D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D59364C" w14:textId="77777777" w:rsidTr="00E21A9F">
        <w:tc>
          <w:tcPr>
            <w:tcW w:w="6345" w:type="dxa"/>
          </w:tcPr>
          <w:p w14:paraId="39867436"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76250C76"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65C0AB3"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1413240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2284C5B9" w14:textId="77777777" w:rsidR="00FC1343" w:rsidRDefault="00FC1343"/>
    <w:p w14:paraId="5AA201F4" w14:textId="77777777" w:rsidR="008C2FD5" w:rsidRDefault="008C2FD5"/>
    <w:tbl>
      <w:tblPr>
        <w:tblStyle w:val="Tabelraster"/>
        <w:tblW w:w="13887" w:type="dxa"/>
        <w:tblLook w:val="04A0" w:firstRow="1" w:lastRow="0" w:firstColumn="1" w:lastColumn="0" w:noHBand="0" w:noVBand="1"/>
      </w:tblPr>
      <w:tblGrid>
        <w:gridCol w:w="6232"/>
        <w:gridCol w:w="7655"/>
      </w:tblGrid>
      <w:tr w:rsidR="00615200" w:rsidRPr="00615200" w14:paraId="30C2C394" w14:textId="77777777" w:rsidTr="00903A88">
        <w:tc>
          <w:tcPr>
            <w:tcW w:w="6232" w:type="dxa"/>
          </w:tcPr>
          <w:p w14:paraId="1431CCE1"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558D820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B7D21F5" w14:textId="77777777" w:rsidTr="00903A88">
        <w:tc>
          <w:tcPr>
            <w:tcW w:w="6232" w:type="dxa"/>
          </w:tcPr>
          <w:p w14:paraId="3AD5C79A"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65739AF"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4B4CC724"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5B807E6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F57289C" w14:textId="77777777" w:rsidTr="00903A88">
        <w:tc>
          <w:tcPr>
            <w:tcW w:w="6232" w:type="dxa"/>
          </w:tcPr>
          <w:p w14:paraId="3A8CA239"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4038460A"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9E3C599"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422061D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C435909" w14:textId="77777777" w:rsidTr="00903A88">
        <w:tc>
          <w:tcPr>
            <w:tcW w:w="6232" w:type="dxa"/>
          </w:tcPr>
          <w:p w14:paraId="7DBDD3E4"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7676CF54"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46FCD34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2A59C57" w14:textId="77777777" w:rsidTr="00903A88">
        <w:tc>
          <w:tcPr>
            <w:tcW w:w="6232" w:type="dxa"/>
          </w:tcPr>
          <w:p w14:paraId="6EBB9837"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2DCB7031"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09BC52A"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22E7D36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CE322E4" w14:textId="77777777" w:rsidTr="00903A88">
        <w:tc>
          <w:tcPr>
            <w:tcW w:w="6232" w:type="dxa"/>
          </w:tcPr>
          <w:p w14:paraId="166B767F"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33ADA527"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lastRenderedPageBreak/>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27A599CB"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1709C54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D98653A" w14:textId="77777777" w:rsidTr="00903A88">
        <w:tc>
          <w:tcPr>
            <w:tcW w:w="6232" w:type="dxa"/>
          </w:tcPr>
          <w:p w14:paraId="60BE71B3"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051CB706"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9A6103C"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32C9AA5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79F2CED" w14:textId="77777777" w:rsidTr="00903A88">
        <w:tc>
          <w:tcPr>
            <w:tcW w:w="6232" w:type="dxa"/>
          </w:tcPr>
          <w:p w14:paraId="5A7066EB"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2529212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35E9E8ED"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6999AD6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C724C47" w14:textId="77777777" w:rsidTr="00903A88">
        <w:tc>
          <w:tcPr>
            <w:tcW w:w="6232" w:type="dxa"/>
          </w:tcPr>
          <w:p w14:paraId="408B6361"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3E704D91"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55C7888"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7788F6D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489C1B70" w14:textId="77777777" w:rsidTr="00903A88">
        <w:tc>
          <w:tcPr>
            <w:tcW w:w="6232" w:type="dxa"/>
          </w:tcPr>
          <w:p w14:paraId="27E52639"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1CF817CD"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74B5C4B3"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7C47EDD3"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6E7BBFF2"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1C7F9057"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64D122F5"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46370A8A"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903A88" w:rsidRPr="00615200" w14:paraId="19D0D39A" w14:textId="77777777" w:rsidTr="00903A88">
        <w:tc>
          <w:tcPr>
            <w:tcW w:w="6232" w:type="dxa"/>
          </w:tcPr>
          <w:p w14:paraId="27D56038"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3FD91797"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66ACE21"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4A728C66"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2780F8AD"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AA4470" w:rsidRPr="00615200" w14:paraId="460B19AE" w14:textId="77777777" w:rsidTr="00903A88">
        <w:tc>
          <w:tcPr>
            <w:tcW w:w="6232" w:type="dxa"/>
          </w:tcPr>
          <w:p w14:paraId="7B526ABF"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23D61D3F"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267B36">
              <w:rPr>
                <w:rFonts w:ascii="Arial" w:hAnsi="Arial" w:cs="Arial"/>
                <w:color w:val="5F497A" w:themeColor="accent4" w:themeShade="BF"/>
                <w:sz w:val="16"/>
                <w:szCs w:val="16"/>
              </w:rPr>
              <w:t>Heeft kennis van en ervaring met het centraal stellen van de klant in de dienstverlening</w:t>
            </w:r>
          </w:p>
          <w:p w14:paraId="682CB71A" w14:textId="77777777" w:rsidR="00AA4470" w:rsidRPr="0010674D" w:rsidRDefault="00AA4470" w:rsidP="00FC1FF6">
            <w:pPr>
              <w:autoSpaceDE w:val="0"/>
              <w:autoSpaceDN w:val="0"/>
              <w:adjustRightInd w:val="0"/>
              <w:rPr>
                <w:rFonts w:ascii="Arial" w:hAnsi="Arial" w:cs="Arial"/>
                <w:color w:val="5F497A" w:themeColor="accent4" w:themeShade="BF"/>
                <w:sz w:val="16"/>
                <w:szCs w:val="16"/>
              </w:rPr>
            </w:pPr>
          </w:p>
        </w:tc>
        <w:tc>
          <w:tcPr>
            <w:tcW w:w="7655" w:type="dxa"/>
          </w:tcPr>
          <w:p w14:paraId="167949A6"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AA4470" w:rsidRPr="00615200" w14:paraId="608FE909" w14:textId="77777777" w:rsidTr="00903A88">
        <w:tc>
          <w:tcPr>
            <w:tcW w:w="6232" w:type="dxa"/>
          </w:tcPr>
          <w:p w14:paraId="32E500C7"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165BA099"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42CB9F0"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52E61A68"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615200" w:rsidRPr="00615200" w14:paraId="24E158D0" w14:textId="77777777" w:rsidTr="00903A88">
        <w:tc>
          <w:tcPr>
            <w:tcW w:w="6232" w:type="dxa"/>
          </w:tcPr>
          <w:p w14:paraId="0BEBF5A2"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763B08E3"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51D0DFC7"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5525C41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E2BCDAF" w14:textId="77777777" w:rsidTr="00903A88">
        <w:tc>
          <w:tcPr>
            <w:tcW w:w="6232" w:type="dxa"/>
          </w:tcPr>
          <w:p w14:paraId="7418F9F4"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7D39F009"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2BA86C7"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38D13D5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E0BCAC7" w14:textId="77777777" w:rsidTr="00903A88">
        <w:tc>
          <w:tcPr>
            <w:tcW w:w="6232" w:type="dxa"/>
          </w:tcPr>
          <w:p w14:paraId="017E958F"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703C4066"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27F84C3"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01150E07"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1FC7C63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684A792" w14:textId="77777777" w:rsidTr="00903A88">
        <w:tc>
          <w:tcPr>
            <w:tcW w:w="6232" w:type="dxa"/>
          </w:tcPr>
          <w:p w14:paraId="356F0C5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003A7308"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5D5B9734"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1DC4808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7A1D59A9"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1B36CFD1" w14:textId="77777777" w:rsidTr="00E21A9F">
        <w:tc>
          <w:tcPr>
            <w:tcW w:w="6345" w:type="dxa"/>
          </w:tcPr>
          <w:p w14:paraId="5305AF7D"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1C2A3B6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2AA51E0A" w14:textId="77777777" w:rsidTr="00E21A9F">
        <w:tc>
          <w:tcPr>
            <w:tcW w:w="6345" w:type="dxa"/>
          </w:tcPr>
          <w:p w14:paraId="20CF4B2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B8238C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5DC8496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7B5204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A1CB5E5" w14:textId="77777777" w:rsidTr="00E21A9F">
        <w:tc>
          <w:tcPr>
            <w:tcW w:w="6345" w:type="dxa"/>
          </w:tcPr>
          <w:p w14:paraId="1B7E26F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1A9E0E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D2675A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77B8EA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10A3E34" w14:textId="77777777" w:rsidTr="00E21A9F">
        <w:tc>
          <w:tcPr>
            <w:tcW w:w="6345" w:type="dxa"/>
          </w:tcPr>
          <w:p w14:paraId="6A7AFD7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B5B827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50A827A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E07170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DB04F39" w14:textId="77777777" w:rsidTr="00E21A9F">
        <w:tc>
          <w:tcPr>
            <w:tcW w:w="6345" w:type="dxa"/>
          </w:tcPr>
          <w:p w14:paraId="11013D9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7A5790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220652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FD51C6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9CA41F0" w14:textId="77777777" w:rsidTr="00E21A9F">
        <w:tc>
          <w:tcPr>
            <w:tcW w:w="6345" w:type="dxa"/>
          </w:tcPr>
          <w:p w14:paraId="2FDC1E7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A889BA3"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55C773B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FAFE3F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C2B102D" w14:textId="77777777" w:rsidTr="00E21A9F">
        <w:tc>
          <w:tcPr>
            <w:tcW w:w="6345" w:type="dxa"/>
          </w:tcPr>
          <w:p w14:paraId="5F509D0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2A4234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DEA348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CEF1CA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FA1200D" w14:textId="77777777" w:rsidTr="00E21A9F">
        <w:tc>
          <w:tcPr>
            <w:tcW w:w="6345" w:type="dxa"/>
          </w:tcPr>
          <w:p w14:paraId="1B18829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6559DA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6D8E43F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5D175C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23B4DEC" w14:textId="77777777" w:rsidTr="00E21A9F">
        <w:tc>
          <w:tcPr>
            <w:tcW w:w="6345" w:type="dxa"/>
          </w:tcPr>
          <w:p w14:paraId="73575FB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A01181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7065EB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A6C27A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0C98EA4" w14:textId="77777777" w:rsidTr="00E21A9F">
        <w:tc>
          <w:tcPr>
            <w:tcW w:w="6345" w:type="dxa"/>
          </w:tcPr>
          <w:p w14:paraId="48293F6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1726F7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4E2B1DA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71D0EB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5B83ABD" w14:textId="77777777" w:rsidTr="00E21A9F">
        <w:tc>
          <w:tcPr>
            <w:tcW w:w="6345" w:type="dxa"/>
          </w:tcPr>
          <w:p w14:paraId="2F720A76"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4508256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48F1C9B"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14957C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E5F9C9C" w14:textId="77777777" w:rsidTr="00E21A9F">
        <w:tc>
          <w:tcPr>
            <w:tcW w:w="6345" w:type="dxa"/>
          </w:tcPr>
          <w:p w14:paraId="17B24445"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2CF1DC37"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5599F8F4"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EF093B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856F119" w14:textId="77777777" w:rsidTr="00E21A9F">
        <w:tc>
          <w:tcPr>
            <w:tcW w:w="6345" w:type="dxa"/>
          </w:tcPr>
          <w:p w14:paraId="7507F14C"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4CC0EEA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08FD12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D770828" w14:textId="77777777" w:rsidTr="00E21A9F">
        <w:trPr>
          <w:trHeight w:val="400"/>
        </w:trPr>
        <w:tc>
          <w:tcPr>
            <w:tcW w:w="6345" w:type="dxa"/>
          </w:tcPr>
          <w:p w14:paraId="4A6C2D9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31CD33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73DFC00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9D64DE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3F4F737" w14:textId="77777777" w:rsidTr="00E21A9F">
        <w:tc>
          <w:tcPr>
            <w:tcW w:w="6345" w:type="dxa"/>
          </w:tcPr>
          <w:p w14:paraId="3A80C8B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99FDFD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55AA45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15EFBF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DF569E4" w14:textId="77777777" w:rsidTr="00E21A9F">
        <w:tc>
          <w:tcPr>
            <w:tcW w:w="6345" w:type="dxa"/>
          </w:tcPr>
          <w:p w14:paraId="57BCD39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20D5E2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5E27CC6"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6CD99A0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72F64D0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67D7EE5" w14:textId="77777777" w:rsidTr="00E21A9F">
        <w:tc>
          <w:tcPr>
            <w:tcW w:w="6345" w:type="dxa"/>
          </w:tcPr>
          <w:p w14:paraId="7AEC4F2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6A4963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323346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89E931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477A081C" w14:textId="77777777" w:rsidR="00FC1343" w:rsidRDefault="00FC1343"/>
    <w:p w14:paraId="2F95E9D2"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2537FA5A"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135B4FF7" w14:textId="77777777" w:rsidTr="00FC1FF6">
        <w:tc>
          <w:tcPr>
            <w:tcW w:w="6345" w:type="dxa"/>
          </w:tcPr>
          <w:p w14:paraId="6F8C1919"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6CABBC15"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21F09D08" w14:textId="77777777" w:rsidTr="00FC1FF6">
        <w:trPr>
          <w:trHeight w:val="453"/>
        </w:trPr>
        <w:tc>
          <w:tcPr>
            <w:tcW w:w="6345" w:type="dxa"/>
          </w:tcPr>
          <w:p w14:paraId="31178495"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6E461767" w14:textId="77777777" w:rsidR="006504D5" w:rsidRPr="00DA79D2" w:rsidRDefault="00C74FB2"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11FCAB01"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2538FE16"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167858BA"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5D3038A9" w14:textId="77777777" w:rsidTr="00FC1FF6">
        <w:trPr>
          <w:trHeight w:val="453"/>
        </w:trPr>
        <w:tc>
          <w:tcPr>
            <w:tcW w:w="6345" w:type="dxa"/>
          </w:tcPr>
          <w:p w14:paraId="26C4FDFF"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6E50DB0D"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2EF08380"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5BF1900D"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3EF04C3B" w14:textId="77777777" w:rsidTr="00FC1FF6">
        <w:trPr>
          <w:trHeight w:val="453"/>
        </w:trPr>
        <w:tc>
          <w:tcPr>
            <w:tcW w:w="6345" w:type="dxa"/>
          </w:tcPr>
          <w:p w14:paraId="1DFA817D"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2E4666F0"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5DE7C673"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1FB50BA3"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7F8C283B"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4C748223" w14:textId="77777777" w:rsidTr="00FC1FF6">
        <w:trPr>
          <w:trHeight w:val="453"/>
        </w:trPr>
        <w:tc>
          <w:tcPr>
            <w:tcW w:w="6345" w:type="dxa"/>
          </w:tcPr>
          <w:p w14:paraId="23A94362"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2F8AD92D"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7CBA4D44" w14:textId="77777777" w:rsidR="00E12621" w:rsidRPr="00E12621"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12331335" w14:textId="77777777" w:rsidR="00E12621" w:rsidRPr="00E12621" w:rsidRDefault="00E12621" w:rsidP="00FC1FF6">
            <w:pPr>
              <w:autoSpaceDE w:val="0"/>
              <w:autoSpaceDN w:val="0"/>
              <w:adjustRightInd w:val="0"/>
              <w:rPr>
                <w:rFonts w:cstheme="minorHAnsi"/>
                <w:b/>
                <w:bCs/>
                <w:color w:val="5F497A" w:themeColor="accent4" w:themeShade="BF"/>
                <w:sz w:val="20"/>
                <w:szCs w:val="20"/>
              </w:rPr>
            </w:pPr>
          </w:p>
        </w:tc>
      </w:tr>
    </w:tbl>
    <w:p w14:paraId="2CB16729" w14:textId="77777777" w:rsidR="00FC1343" w:rsidRDefault="00FC1343"/>
    <w:tbl>
      <w:tblPr>
        <w:tblStyle w:val="Tabelraster"/>
        <w:tblW w:w="13887" w:type="dxa"/>
        <w:tblLook w:val="04A0" w:firstRow="1" w:lastRow="0" w:firstColumn="1" w:lastColumn="0" w:noHBand="0" w:noVBand="1"/>
      </w:tblPr>
      <w:tblGrid>
        <w:gridCol w:w="6345"/>
        <w:gridCol w:w="7542"/>
      </w:tblGrid>
      <w:tr w:rsidR="00B770B6" w:rsidRPr="00615200" w14:paraId="7C26F022" w14:textId="77777777" w:rsidTr="00B770B6">
        <w:tc>
          <w:tcPr>
            <w:tcW w:w="6345" w:type="dxa"/>
          </w:tcPr>
          <w:p w14:paraId="2CCF5FB2"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2A96F44D"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B770B6" w:rsidRPr="00615200" w14:paraId="2D3F646E" w14:textId="77777777" w:rsidTr="00B770B6">
        <w:tc>
          <w:tcPr>
            <w:tcW w:w="6345" w:type="dxa"/>
          </w:tcPr>
          <w:p w14:paraId="7CD73119"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668389E2"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lastRenderedPageBreak/>
              <w:t xml:space="preserve">Over hoeveel tijd moet de </w:t>
            </w:r>
            <w:r w:rsidR="009A01C8">
              <w:rPr>
                <w:rFonts w:ascii="Arial" w:hAnsi="Arial" w:cs="Arial"/>
                <w:color w:val="5F497A" w:themeColor="accent4" w:themeShade="BF"/>
                <w:sz w:val="16"/>
                <w:szCs w:val="16"/>
              </w:rPr>
              <w:t>toezichthouder</w:t>
            </w:r>
            <w:r w:rsidRPr="00DA79D2">
              <w:rPr>
                <w:rFonts w:ascii="Arial" w:hAnsi="Arial" w:cs="Arial"/>
                <w:color w:val="5F497A" w:themeColor="accent4" w:themeShade="BF"/>
                <w:sz w:val="16"/>
                <w:szCs w:val="16"/>
              </w:rPr>
              <w:t xml:space="preserve">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5F4DA267"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405C3A8F"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DA6FD9" w:rsidRPr="00F66189" w14:paraId="2F3DF39E" w14:textId="77777777" w:rsidTr="00B770B6">
        <w:tc>
          <w:tcPr>
            <w:tcW w:w="6345" w:type="dxa"/>
          </w:tcPr>
          <w:p w14:paraId="73FC99B0"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3CA0EAF3"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9A01C8">
              <w:rPr>
                <w:rFonts w:ascii="Arial" w:hAnsi="Arial" w:cs="Arial"/>
                <w:color w:val="5F497A" w:themeColor="accent4" w:themeShade="BF"/>
                <w:sz w:val="16"/>
                <w:szCs w:val="16"/>
              </w:rPr>
              <w:t>k) dat de toezichthouder</w:t>
            </w:r>
            <w:r w:rsidR="00BC14B7" w:rsidRPr="00DA79D2">
              <w:rPr>
                <w:rFonts w:ascii="Arial" w:hAnsi="Arial" w:cs="Arial"/>
                <w:color w:val="5F497A" w:themeColor="accent4" w:themeShade="BF"/>
                <w:sz w:val="16"/>
                <w:szCs w:val="16"/>
              </w:rPr>
              <w:t xml:space="preserve"> besteedt</w:t>
            </w:r>
            <w:r w:rsidRPr="00DA79D2">
              <w:rPr>
                <w:rFonts w:ascii="Arial" w:hAnsi="Arial" w:cs="Arial"/>
                <w:color w:val="5F497A" w:themeColor="accent4" w:themeShade="BF"/>
                <w:sz w:val="16"/>
                <w:szCs w:val="16"/>
              </w:rPr>
              <w:t xml:space="preserve"> aan de nevenfuncties, buiten de functie waarvoor deze aanmelding wordt gedaan: </w:t>
            </w:r>
          </w:p>
          <w:p w14:paraId="0462496B"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49A738E1" w14:textId="77777777" w:rsidR="00DA6FD9" w:rsidRDefault="00DA6FD9" w:rsidP="00FC1FF6">
            <w:pPr>
              <w:autoSpaceDE w:val="0"/>
              <w:autoSpaceDN w:val="0"/>
              <w:adjustRightInd w:val="0"/>
              <w:rPr>
                <w:rFonts w:cstheme="minorHAnsi"/>
                <w:b/>
                <w:bCs/>
                <w:color w:val="5F497A" w:themeColor="accent4" w:themeShade="BF"/>
                <w:sz w:val="20"/>
                <w:szCs w:val="20"/>
              </w:rPr>
            </w:pPr>
          </w:p>
        </w:tc>
      </w:tr>
      <w:tr w:rsidR="00DA6FD9" w:rsidRPr="00F66189" w14:paraId="3B9B5260" w14:textId="77777777" w:rsidTr="00B770B6">
        <w:tc>
          <w:tcPr>
            <w:tcW w:w="6345" w:type="dxa"/>
          </w:tcPr>
          <w:p w14:paraId="76B7D31B"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052AA36E"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dagen (per jaar) dat de </w:t>
            </w:r>
            <w:r w:rsidR="009A01C8">
              <w:rPr>
                <w:rFonts w:ascii="Arial" w:hAnsi="Arial" w:cs="Arial"/>
                <w:color w:val="5F497A" w:themeColor="accent4" w:themeShade="BF"/>
                <w:sz w:val="16"/>
                <w:szCs w:val="16"/>
              </w:rPr>
              <w:t>toezichthoud</w:t>
            </w:r>
            <w:r w:rsidRPr="00DA79D2">
              <w:rPr>
                <w:rFonts w:ascii="Arial" w:hAnsi="Arial" w:cs="Arial"/>
                <w:color w:val="5F497A" w:themeColor="accent4" w:themeShade="BF"/>
                <w:sz w:val="16"/>
                <w:szCs w:val="16"/>
              </w:rPr>
              <w:t>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4FCC66BC"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6F8E27D7" w14:textId="77777777" w:rsidR="00DA6FD9" w:rsidRPr="00F66189" w:rsidRDefault="00DA6FD9" w:rsidP="00FC1FF6">
            <w:pPr>
              <w:autoSpaceDE w:val="0"/>
              <w:autoSpaceDN w:val="0"/>
              <w:adjustRightInd w:val="0"/>
              <w:rPr>
                <w:rFonts w:cstheme="minorHAnsi"/>
                <w:b/>
                <w:bCs/>
                <w:color w:val="5F497A" w:themeColor="accent4" w:themeShade="BF"/>
                <w:sz w:val="20"/>
                <w:szCs w:val="20"/>
              </w:rPr>
            </w:pPr>
          </w:p>
        </w:tc>
      </w:tr>
    </w:tbl>
    <w:p w14:paraId="50B3FCAC" w14:textId="77777777" w:rsidR="00E12621" w:rsidRPr="00FC1343" w:rsidRDefault="00E12621" w:rsidP="00E12621">
      <w:pPr>
        <w:rPr>
          <w:b/>
          <w:color w:val="5F497A" w:themeColor="accent4" w:themeShade="BF"/>
          <w:sz w:val="28"/>
          <w:szCs w:val="28"/>
        </w:rPr>
      </w:pPr>
    </w:p>
    <w:p w14:paraId="23F13D7C" w14:textId="77777777" w:rsidR="001D057E" w:rsidRDefault="001D057E">
      <w:r>
        <w:br w:type="page"/>
      </w:r>
    </w:p>
    <w:p w14:paraId="78D08035"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 xml:space="preserve">(in te vullen voor toetredende </w:t>
      </w:r>
      <w:r w:rsidR="009A01C8">
        <w:rPr>
          <w:rFonts w:cstheme="minorHAnsi"/>
          <w:b/>
          <w:bCs/>
          <w:color w:val="5F497A" w:themeColor="accent4" w:themeShade="BF"/>
          <w:sz w:val="24"/>
          <w:szCs w:val="24"/>
        </w:rPr>
        <w:t>toezichthoud</w:t>
      </w:r>
      <w:r w:rsidR="0013533F" w:rsidRPr="0010674D">
        <w:rPr>
          <w:rFonts w:cstheme="minorHAnsi"/>
          <w:b/>
          <w:bCs/>
          <w:color w:val="5F497A" w:themeColor="accent4" w:themeShade="BF"/>
          <w:sz w:val="24"/>
          <w:szCs w:val="24"/>
        </w:rPr>
        <w:t>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29FD0EF6" w14:textId="77777777" w:rsidTr="0013533F">
        <w:tc>
          <w:tcPr>
            <w:tcW w:w="2987" w:type="dxa"/>
          </w:tcPr>
          <w:p w14:paraId="71D35A00"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5430AFCE"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6AD54AC6"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13A27F13"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5BF1BA2B"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637FDB49"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3B0C6D4A"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66C98DB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5D4DA906"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075A3056" w14:textId="77777777" w:rsidR="0013533F" w:rsidRPr="006504D5" w:rsidRDefault="0013533F" w:rsidP="00B264E9">
            <w:pPr>
              <w:rPr>
                <w:rFonts w:ascii="Arial" w:hAnsi="Arial" w:cs="Arial"/>
                <w:color w:val="5F497A" w:themeColor="accent4" w:themeShade="BF"/>
                <w:sz w:val="17"/>
                <w:szCs w:val="17"/>
              </w:rPr>
            </w:pPr>
          </w:p>
        </w:tc>
      </w:tr>
      <w:tr w:rsidR="0013533F" w14:paraId="5887757A" w14:textId="77777777" w:rsidTr="0013533F">
        <w:tc>
          <w:tcPr>
            <w:tcW w:w="2987" w:type="dxa"/>
          </w:tcPr>
          <w:p w14:paraId="6C33C44A" w14:textId="77777777" w:rsidR="0013533F" w:rsidRDefault="0013533F" w:rsidP="00B264E9">
            <w:pPr>
              <w:rPr>
                <w:b/>
                <w:color w:val="5F497A" w:themeColor="accent4" w:themeShade="BF"/>
                <w:sz w:val="28"/>
                <w:szCs w:val="28"/>
              </w:rPr>
            </w:pPr>
          </w:p>
        </w:tc>
        <w:tc>
          <w:tcPr>
            <w:tcW w:w="699" w:type="dxa"/>
          </w:tcPr>
          <w:p w14:paraId="18FE2B51" w14:textId="77777777" w:rsidR="0013533F" w:rsidRDefault="0013533F" w:rsidP="00B264E9">
            <w:pPr>
              <w:rPr>
                <w:b/>
                <w:color w:val="5F497A" w:themeColor="accent4" w:themeShade="BF"/>
                <w:sz w:val="28"/>
                <w:szCs w:val="28"/>
              </w:rPr>
            </w:pPr>
          </w:p>
        </w:tc>
        <w:tc>
          <w:tcPr>
            <w:tcW w:w="1559" w:type="dxa"/>
          </w:tcPr>
          <w:p w14:paraId="69D09392" w14:textId="77777777" w:rsidR="0013533F" w:rsidRDefault="0013533F" w:rsidP="00B264E9">
            <w:pPr>
              <w:rPr>
                <w:b/>
                <w:color w:val="5F497A" w:themeColor="accent4" w:themeShade="BF"/>
                <w:sz w:val="28"/>
                <w:szCs w:val="28"/>
              </w:rPr>
            </w:pPr>
          </w:p>
        </w:tc>
        <w:tc>
          <w:tcPr>
            <w:tcW w:w="1843" w:type="dxa"/>
          </w:tcPr>
          <w:p w14:paraId="01BA3D62" w14:textId="77777777" w:rsidR="0013533F" w:rsidRDefault="0013533F" w:rsidP="00B264E9">
            <w:pPr>
              <w:rPr>
                <w:b/>
                <w:color w:val="5F497A" w:themeColor="accent4" w:themeShade="BF"/>
                <w:sz w:val="28"/>
                <w:szCs w:val="28"/>
              </w:rPr>
            </w:pPr>
          </w:p>
        </w:tc>
        <w:tc>
          <w:tcPr>
            <w:tcW w:w="2410" w:type="dxa"/>
          </w:tcPr>
          <w:p w14:paraId="60D176F2" w14:textId="77777777" w:rsidR="0013533F" w:rsidRDefault="0013533F" w:rsidP="00B264E9">
            <w:pPr>
              <w:rPr>
                <w:b/>
                <w:color w:val="5F497A" w:themeColor="accent4" w:themeShade="BF"/>
                <w:sz w:val="28"/>
                <w:szCs w:val="28"/>
              </w:rPr>
            </w:pPr>
          </w:p>
        </w:tc>
        <w:tc>
          <w:tcPr>
            <w:tcW w:w="1715" w:type="dxa"/>
          </w:tcPr>
          <w:p w14:paraId="5ECD1168" w14:textId="77777777" w:rsidR="0013533F" w:rsidRDefault="0013533F" w:rsidP="00B264E9">
            <w:pPr>
              <w:rPr>
                <w:b/>
                <w:color w:val="5F497A" w:themeColor="accent4" w:themeShade="BF"/>
                <w:sz w:val="28"/>
                <w:szCs w:val="28"/>
              </w:rPr>
            </w:pPr>
          </w:p>
        </w:tc>
        <w:tc>
          <w:tcPr>
            <w:tcW w:w="1413" w:type="dxa"/>
          </w:tcPr>
          <w:p w14:paraId="7C21BE69" w14:textId="77777777" w:rsidR="0013533F" w:rsidRDefault="0013533F" w:rsidP="00B264E9">
            <w:pPr>
              <w:rPr>
                <w:b/>
                <w:color w:val="5F497A" w:themeColor="accent4" w:themeShade="BF"/>
                <w:sz w:val="28"/>
                <w:szCs w:val="28"/>
              </w:rPr>
            </w:pPr>
          </w:p>
        </w:tc>
        <w:tc>
          <w:tcPr>
            <w:tcW w:w="1417" w:type="dxa"/>
          </w:tcPr>
          <w:p w14:paraId="3592B71C" w14:textId="77777777" w:rsidR="0013533F" w:rsidRDefault="0013533F" w:rsidP="00B264E9">
            <w:pPr>
              <w:rPr>
                <w:b/>
                <w:color w:val="5F497A" w:themeColor="accent4" w:themeShade="BF"/>
                <w:sz w:val="28"/>
                <w:szCs w:val="28"/>
              </w:rPr>
            </w:pPr>
          </w:p>
        </w:tc>
      </w:tr>
      <w:tr w:rsidR="0013533F" w14:paraId="53F2E1A3" w14:textId="77777777" w:rsidTr="0013533F">
        <w:tc>
          <w:tcPr>
            <w:tcW w:w="2987" w:type="dxa"/>
          </w:tcPr>
          <w:p w14:paraId="5FB2AE06" w14:textId="77777777" w:rsidR="0013533F" w:rsidRDefault="0013533F" w:rsidP="00B264E9">
            <w:pPr>
              <w:rPr>
                <w:b/>
                <w:color w:val="5F497A" w:themeColor="accent4" w:themeShade="BF"/>
                <w:sz w:val="28"/>
                <w:szCs w:val="28"/>
              </w:rPr>
            </w:pPr>
          </w:p>
        </w:tc>
        <w:tc>
          <w:tcPr>
            <w:tcW w:w="699" w:type="dxa"/>
          </w:tcPr>
          <w:p w14:paraId="64CAFAD0" w14:textId="77777777" w:rsidR="0013533F" w:rsidRDefault="0013533F" w:rsidP="00B264E9">
            <w:pPr>
              <w:rPr>
                <w:b/>
                <w:color w:val="5F497A" w:themeColor="accent4" w:themeShade="BF"/>
                <w:sz w:val="28"/>
                <w:szCs w:val="28"/>
              </w:rPr>
            </w:pPr>
          </w:p>
        </w:tc>
        <w:tc>
          <w:tcPr>
            <w:tcW w:w="1559" w:type="dxa"/>
          </w:tcPr>
          <w:p w14:paraId="5A04E736" w14:textId="77777777" w:rsidR="0013533F" w:rsidRDefault="0013533F" w:rsidP="00B264E9">
            <w:pPr>
              <w:rPr>
                <w:b/>
                <w:color w:val="5F497A" w:themeColor="accent4" w:themeShade="BF"/>
                <w:sz w:val="28"/>
                <w:szCs w:val="28"/>
              </w:rPr>
            </w:pPr>
          </w:p>
        </w:tc>
        <w:tc>
          <w:tcPr>
            <w:tcW w:w="1843" w:type="dxa"/>
          </w:tcPr>
          <w:p w14:paraId="0926E0CE" w14:textId="77777777" w:rsidR="0013533F" w:rsidRDefault="0013533F" w:rsidP="00B264E9">
            <w:pPr>
              <w:rPr>
                <w:b/>
                <w:color w:val="5F497A" w:themeColor="accent4" w:themeShade="BF"/>
                <w:sz w:val="28"/>
                <w:szCs w:val="28"/>
              </w:rPr>
            </w:pPr>
          </w:p>
        </w:tc>
        <w:tc>
          <w:tcPr>
            <w:tcW w:w="2410" w:type="dxa"/>
          </w:tcPr>
          <w:p w14:paraId="338AFEAD" w14:textId="77777777" w:rsidR="0013533F" w:rsidRDefault="0013533F" w:rsidP="00B264E9">
            <w:pPr>
              <w:rPr>
                <w:b/>
                <w:color w:val="5F497A" w:themeColor="accent4" w:themeShade="BF"/>
                <w:sz w:val="28"/>
                <w:szCs w:val="28"/>
              </w:rPr>
            </w:pPr>
          </w:p>
        </w:tc>
        <w:tc>
          <w:tcPr>
            <w:tcW w:w="1715" w:type="dxa"/>
          </w:tcPr>
          <w:p w14:paraId="76590365" w14:textId="77777777" w:rsidR="0013533F" w:rsidRDefault="0013533F" w:rsidP="00B264E9">
            <w:pPr>
              <w:rPr>
                <w:b/>
                <w:color w:val="5F497A" w:themeColor="accent4" w:themeShade="BF"/>
                <w:sz w:val="28"/>
                <w:szCs w:val="28"/>
              </w:rPr>
            </w:pPr>
          </w:p>
        </w:tc>
        <w:tc>
          <w:tcPr>
            <w:tcW w:w="1413" w:type="dxa"/>
          </w:tcPr>
          <w:p w14:paraId="4FE41DA5" w14:textId="77777777" w:rsidR="0013533F" w:rsidRDefault="0013533F" w:rsidP="00B264E9">
            <w:pPr>
              <w:rPr>
                <w:b/>
                <w:color w:val="5F497A" w:themeColor="accent4" w:themeShade="BF"/>
                <w:sz w:val="28"/>
                <w:szCs w:val="28"/>
              </w:rPr>
            </w:pPr>
          </w:p>
        </w:tc>
        <w:tc>
          <w:tcPr>
            <w:tcW w:w="1417" w:type="dxa"/>
          </w:tcPr>
          <w:p w14:paraId="7D5228C4" w14:textId="77777777" w:rsidR="0013533F" w:rsidRDefault="0013533F" w:rsidP="00B264E9">
            <w:pPr>
              <w:rPr>
                <w:b/>
                <w:color w:val="5F497A" w:themeColor="accent4" w:themeShade="BF"/>
                <w:sz w:val="28"/>
                <w:szCs w:val="28"/>
              </w:rPr>
            </w:pPr>
          </w:p>
        </w:tc>
      </w:tr>
      <w:tr w:rsidR="0013533F" w14:paraId="50C13160" w14:textId="77777777" w:rsidTr="0013533F">
        <w:tc>
          <w:tcPr>
            <w:tcW w:w="2987" w:type="dxa"/>
          </w:tcPr>
          <w:p w14:paraId="27C6FC90" w14:textId="77777777" w:rsidR="0013533F" w:rsidRDefault="0013533F" w:rsidP="00B264E9">
            <w:pPr>
              <w:rPr>
                <w:b/>
                <w:color w:val="5F497A" w:themeColor="accent4" w:themeShade="BF"/>
                <w:sz w:val="28"/>
                <w:szCs w:val="28"/>
              </w:rPr>
            </w:pPr>
          </w:p>
        </w:tc>
        <w:tc>
          <w:tcPr>
            <w:tcW w:w="699" w:type="dxa"/>
          </w:tcPr>
          <w:p w14:paraId="17D3EBB1" w14:textId="77777777" w:rsidR="0013533F" w:rsidRDefault="0013533F" w:rsidP="00B264E9">
            <w:pPr>
              <w:rPr>
                <w:b/>
                <w:color w:val="5F497A" w:themeColor="accent4" w:themeShade="BF"/>
                <w:sz w:val="28"/>
                <w:szCs w:val="28"/>
              </w:rPr>
            </w:pPr>
          </w:p>
        </w:tc>
        <w:tc>
          <w:tcPr>
            <w:tcW w:w="1559" w:type="dxa"/>
          </w:tcPr>
          <w:p w14:paraId="3805B4CD" w14:textId="77777777" w:rsidR="0013533F" w:rsidRDefault="0013533F" w:rsidP="00B264E9">
            <w:pPr>
              <w:rPr>
                <w:b/>
                <w:color w:val="5F497A" w:themeColor="accent4" w:themeShade="BF"/>
                <w:sz w:val="28"/>
                <w:szCs w:val="28"/>
              </w:rPr>
            </w:pPr>
          </w:p>
        </w:tc>
        <w:tc>
          <w:tcPr>
            <w:tcW w:w="1843" w:type="dxa"/>
          </w:tcPr>
          <w:p w14:paraId="4DF5EB99" w14:textId="77777777" w:rsidR="0013533F" w:rsidRDefault="0013533F" w:rsidP="00B264E9">
            <w:pPr>
              <w:rPr>
                <w:b/>
                <w:color w:val="5F497A" w:themeColor="accent4" w:themeShade="BF"/>
                <w:sz w:val="28"/>
                <w:szCs w:val="28"/>
              </w:rPr>
            </w:pPr>
          </w:p>
        </w:tc>
        <w:tc>
          <w:tcPr>
            <w:tcW w:w="2410" w:type="dxa"/>
          </w:tcPr>
          <w:p w14:paraId="6E5C1F3A" w14:textId="77777777" w:rsidR="0013533F" w:rsidRDefault="0013533F" w:rsidP="00B264E9">
            <w:pPr>
              <w:rPr>
                <w:b/>
                <w:color w:val="5F497A" w:themeColor="accent4" w:themeShade="BF"/>
                <w:sz w:val="28"/>
                <w:szCs w:val="28"/>
              </w:rPr>
            </w:pPr>
          </w:p>
        </w:tc>
        <w:tc>
          <w:tcPr>
            <w:tcW w:w="1715" w:type="dxa"/>
          </w:tcPr>
          <w:p w14:paraId="5F26DB52" w14:textId="77777777" w:rsidR="0013533F" w:rsidRDefault="0013533F" w:rsidP="00B264E9">
            <w:pPr>
              <w:rPr>
                <w:b/>
                <w:color w:val="5F497A" w:themeColor="accent4" w:themeShade="BF"/>
                <w:sz w:val="28"/>
                <w:szCs w:val="28"/>
              </w:rPr>
            </w:pPr>
          </w:p>
        </w:tc>
        <w:tc>
          <w:tcPr>
            <w:tcW w:w="1413" w:type="dxa"/>
          </w:tcPr>
          <w:p w14:paraId="70B8BE50" w14:textId="77777777" w:rsidR="0013533F" w:rsidRDefault="0013533F" w:rsidP="00B264E9">
            <w:pPr>
              <w:rPr>
                <w:b/>
                <w:color w:val="5F497A" w:themeColor="accent4" w:themeShade="BF"/>
                <w:sz w:val="28"/>
                <w:szCs w:val="28"/>
              </w:rPr>
            </w:pPr>
          </w:p>
        </w:tc>
        <w:tc>
          <w:tcPr>
            <w:tcW w:w="1417" w:type="dxa"/>
          </w:tcPr>
          <w:p w14:paraId="7A6A07FB" w14:textId="77777777" w:rsidR="0013533F" w:rsidRDefault="0013533F" w:rsidP="00B264E9">
            <w:pPr>
              <w:rPr>
                <w:b/>
                <w:color w:val="5F497A" w:themeColor="accent4" w:themeShade="BF"/>
                <w:sz w:val="28"/>
                <w:szCs w:val="28"/>
              </w:rPr>
            </w:pPr>
          </w:p>
        </w:tc>
      </w:tr>
      <w:tr w:rsidR="0013533F" w14:paraId="454F93DD" w14:textId="77777777" w:rsidTr="0013533F">
        <w:tc>
          <w:tcPr>
            <w:tcW w:w="2987" w:type="dxa"/>
          </w:tcPr>
          <w:p w14:paraId="1E902032" w14:textId="77777777" w:rsidR="0013533F" w:rsidRDefault="0013533F" w:rsidP="00B264E9">
            <w:pPr>
              <w:rPr>
                <w:b/>
                <w:color w:val="5F497A" w:themeColor="accent4" w:themeShade="BF"/>
                <w:sz w:val="28"/>
                <w:szCs w:val="28"/>
              </w:rPr>
            </w:pPr>
          </w:p>
        </w:tc>
        <w:tc>
          <w:tcPr>
            <w:tcW w:w="699" w:type="dxa"/>
          </w:tcPr>
          <w:p w14:paraId="1A2FDC5B" w14:textId="77777777" w:rsidR="0013533F" w:rsidRDefault="0013533F" w:rsidP="00B264E9">
            <w:pPr>
              <w:rPr>
                <w:b/>
                <w:color w:val="5F497A" w:themeColor="accent4" w:themeShade="BF"/>
                <w:sz w:val="28"/>
                <w:szCs w:val="28"/>
              </w:rPr>
            </w:pPr>
          </w:p>
        </w:tc>
        <w:tc>
          <w:tcPr>
            <w:tcW w:w="1559" w:type="dxa"/>
          </w:tcPr>
          <w:p w14:paraId="39255FC2" w14:textId="77777777" w:rsidR="0013533F" w:rsidRDefault="0013533F" w:rsidP="00B264E9">
            <w:pPr>
              <w:rPr>
                <w:b/>
                <w:color w:val="5F497A" w:themeColor="accent4" w:themeShade="BF"/>
                <w:sz w:val="28"/>
                <w:szCs w:val="28"/>
              </w:rPr>
            </w:pPr>
          </w:p>
        </w:tc>
        <w:tc>
          <w:tcPr>
            <w:tcW w:w="1843" w:type="dxa"/>
          </w:tcPr>
          <w:p w14:paraId="69D76101" w14:textId="77777777" w:rsidR="0013533F" w:rsidRDefault="0013533F" w:rsidP="00B264E9">
            <w:pPr>
              <w:rPr>
                <w:b/>
                <w:color w:val="5F497A" w:themeColor="accent4" w:themeShade="BF"/>
                <w:sz w:val="28"/>
                <w:szCs w:val="28"/>
              </w:rPr>
            </w:pPr>
          </w:p>
        </w:tc>
        <w:tc>
          <w:tcPr>
            <w:tcW w:w="2410" w:type="dxa"/>
          </w:tcPr>
          <w:p w14:paraId="06B140CD" w14:textId="77777777" w:rsidR="0013533F" w:rsidRDefault="0013533F" w:rsidP="00B264E9">
            <w:pPr>
              <w:rPr>
                <w:b/>
                <w:color w:val="5F497A" w:themeColor="accent4" w:themeShade="BF"/>
                <w:sz w:val="28"/>
                <w:szCs w:val="28"/>
              </w:rPr>
            </w:pPr>
          </w:p>
        </w:tc>
        <w:tc>
          <w:tcPr>
            <w:tcW w:w="1715" w:type="dxa"/>
          </w:tcPr>
          <w:p w14:paraId="590FBF5B" w14:textId="77777777" w:rsidR="0013533F" w:rsidRDefault="0013533F" w:rsidP="00B264E9">
            <w:pPr>
              <w:rPr>
                <w:b/>
                <w:color w:val="5F497A" w:themeColor="accent4" w:themeShade="BF"/>
                <w:sz w:val="28"/>
                <w:szCs w:val="28"/>
              </w:rPr>
            </w:pPr>
          </w:p>
        </w:tc>
        <w:tc>
          <w:tcPr>
            <w:tcW w:w="1413" w:type="dxa"/>
          </w:tcPr>
          <w:p w14:paraId="4C2CD974" w14:textId="77777777" w:rsidR="0013533F" w:rsidRDefault="0013533F" w:rsidP="00B264E9">
            <w:pPr>
              <w:rPr>
                <w:b/>
                <w:color w:val="5F497A" w:themeColor="accent4" w:themeShade="BF"/>
                <w:sz w:val="28"/>
                <w:szCs w:val="28"/>
              </w:rPr>
            </w:pPr>
          </w:p>
        </w:tc>
        <w:tc>
          <w:tcPr>
            <w:tcW w:w="1417" w:type="dxa"/>
          </w:tcPr>
          <w:p w14:paraId="6F9F1759" w14:textId="77777777" w:rsidR="0013533F" w:rsidRDefault="0013533F" w:rsidP="00B264E9">
            <w:pPr>
              <w:rPr>
                <w:b/>
                <w:color w:val="5F497A" w:themeColor="accent4" w:themeShade="BF"/>
                <w:sz w:val="28"/>
                <w:szCs w:val="28"/>
              </w:rPr>
            </w:pPr>
          </w:p>
        </w:tc>
      </w:tr>
      <w:tr w:rsidR="0013533F" w14:paraId="4073D5FA" w14:textId="77777777" w:rsidTr="0013533F">
        <w:tc>
          <w:tcPr>
            <w:tcW w:w="2987" w:type="dxa"/>
          </w:tcPr>
          <w:p w14:paraId="18E859BB" w14:textId="77777777" w:rsidR="0013533F" w:rsidRDefault="0013533F" w:rsidP="00B264E9">
            <w:pPr>
              <w:rPr>
                <w:b/>
                <w:color w:val="5F497A" w:themeColor="accent4" w:themeShade="BF"/>
                <w:sz w:val="28"/>
                <w:szCs w:val="28"/>
              </w:rPr>
            </w:pPr>
          </w:p>
        </w:tc>
        <w:tc>
          <w:tcPr>
            <w:tcW w:w="699" w:type="dxa"/>
          </w:tcPr>
          <w:p w14:paraId="24C7299C" w14:textId="77777777" w:rsidR="0013533F" w:rsidRDefault="0013533F" w:rsidP="00B264E9">
            <w:pPr>
              <w:rPr>
                <w:b/>
                <w:color w:val="5F497A" w:themeColor="accent4" w:themeShade="BF"/>
                <w:sz w:val="28"/>
                <w:szCs w:val="28"/>
              </w:rPr>
            </w:pPr>
          </w:p>
        </w:tc>
        <w:tc>
          <w:tcPr>
            <w:tcW w:w="1559" w:type="dxa"/>
          </w:tcPr>
          <w:p w14:paraId="079414E0" w14:textId="77777777" w:rsidR="0013533F" w:rsidRDefault="0013533F" w:rsidP="00B264E9">
            <w:pPr>
              <w:rPr>
                <w:b/>
                <w:color w:val="5F497A" w:themeColor="accent4" w:themeShade="BF"/>
                <w:sz w:val="28"/>
                <w:szCs w:val="28"/>
              </w:rPr>
            </w:pPr>
          </w:p>
        </w:tc>
        <w:tc>
          <w:tcPr>
            <w:tcW w:w="1843" w:type="dxa"/>
          </w:tcPr>
          <w:p w14:paraId="56F188A0" w14:textId="77777777" w:rsidR="0013533F" w:rsidRDefault="0013533F" w:rsidP="00B264E9">
            <w:pPr>
              <w:rPr>
                <w:b/>
                <w:color w:val="5F497A" w:themeColor="accent4" w:themeShade="BF"/>
                <w:sz w:val="28"/>
                <w:szCs w:val="28"/>
              </w:rPr>
            </w:pPr>
          </w:p>
        </w:tc>
        <w:tc>
          <w:tcPr>
            <w:tcW w:w="2410" w:type="dxa"/>
          </w:tcPr>
          <w:p w14:paraId="0B134542" w14:textId="77777777" w:rsidR="0013533F" w:rsidRDefault="0013533F" w:rsidP="00B264E9">
            <w:pPr>
              <w:rPr>
                <w:b/>
                <w:color w:val="5F497A" w:themeColor="accent4" w:themeShade="BF"/>
                <w:sz w:val="28"/>
                <w:szCs w:val="28"/>
              </w:rPr>
            </w:pPr>
          </w:p>
        </w:tc>
        <w:tc>
          <w:tcPr>
            <w:tcW w:w="1715" w:type="dxa"/>
          </w:tcPr>
          <w:p w14:paraId="7D54B45D" w14:textId="77777777" w:rsidR="0013533F" w:rsidRDefault="0013533F" w:rsidP="00B264E9">
            <w:pPr>
              <w:rPr>
                <w:b/>
                <w:color w:val="5F497A" w:themeColor="accent4" w:themeShade="BF"/>
                <w:sz w:val="28"/>
                <w:szCs w:val="28"/>
              </w:rPr>
            </w:pPr>
          </w:p>
        </w:tc>
        <w:tc>
          <w:tcPr>
            <w:tcW w:w="1413" w:type="dxa"/>
          </w:tcPr>
          <w:p w14:paraId="35984740" w14:textId="77777777" w:rsidR="0013533F" w:rsidRDefault="0013533F" w:rsidP="00B264E9">
            <w:pPr>
              <w:rPr>
                <w:b/>
                <w:color w:val="5F497A" w:themeColor="accent4" w:themeShade="BF"/>
                <w:sz w:val="28"/>
                <w:szCs w:val="28"/>
              </w:rPr>
            </w:pPr>
          </w:p>
        </w:tc>
        <w:tc>
          <w:tcPr>
            <w:tcW w:w="1417" w:type="dxa"/>
          </w:tcPr>
          <w:p w14:paraId="2DF238A5" w14:textId="77777777" w:rsidR="0013533F" w:rsidRDefault="0013533F" w:rsidP="00B264E9">
            <w:pPr>
              <w:rPr>
                <w:b/>
                <w:color w:val="5F497A" w:themeColor="accent4" w:themeShade="BF"/>
                <w:sz w:val="28"/>
                <w:szCs w:val="28"/>
              </w:rPr>
            </w:pPr>
          </w:p>
        </w:tc>
      </w:tr>
    </w:tbl>
    <w:p w14:paraId="36E4AEF6"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AF09" w14:textId="77777777" w:rsidR="000F2C47" w:rsidRDefault="000F2C47" w:rsidP="00A13E43">
      <w:pPr>
        <w:spacing w:after="0" w:line="240" w:lineRule="auto"/>
      </w:pPr>
      <w:r>
        <w:separator/>
      </w:r>
    </w:p>
  </w:endnote>
  <w:endnote w:type="continuationSeparator" w:id="0">
    <w:p w14:paraId="0CB3C954" w14:textId="77777777" w:rsidR="000F2C47" w:rsidRDefault="000F2C47" w:rsidP="00A13E43">
      <w:pPr>
        <w:spacing w:after="0" w:line="240" w:lineRule="auto"/>
      </w:pPr>
      <w:r>
        <w:continuationSeparator/>
      </w:r>
    </w:p>
  </w:endnote>
  <w:endnote w:type="continuationNotice" w:id="1">
    <w:p w14:paraId="60309329" w14:textId="77777777" w:rsidR="000F2C47" w:rsidRDefault="000F2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B20C" w14:textId="77777777" w:rsidR="00FC1FF6" w:rsidRDefault="00FC1FF6">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58395B23" w14:textId="77777777" w:rsidR="00FC1FF6" w:rsidRDefault="00FC1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E059" w14:textId="77777777" w:rsidR="000F2C47" w:rsidRDefault="000F2C47" w:rsidP="00A13E43">
      <w:pPr>
        <w:spacing w:after="0" w:line="240" w:lineRule="auto"/>
      </w:pPr>
      <w:r>
        <w:separator/>
      </w:r>
    </w:p>
  </w:footnote>
  <w:footnote w:type="continuationSeparator" w:id="0">
    <w:p w14:paraId="568511C4" w14:textId="77777777" w:rsidR="000F2C47" w:rsidRDefault="000F2C47" w:rsidP="00A13E43">
      <w:pPr>
        <w:spacing w:after="0" w:line="240" w:lineRule="auto"/>
      </w:pPr>
      <w:r>
        <w:continuationSeparator/>
      </w:r>
    </w:p>
  </w:footnote>
  <w:footnote w:type="continuationNotice" w:id="1">
    <w:p w14:paraId="1B6388D5" w14:textId="77777777" w:rsidR="000F2C47" w:rsidRDefault="000F2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2F17" w14:textId="77777777" w:rsidR="00AE0FDB" w:rsidRDefault="00AE0FDB" w:rsidP="00AE0FDB">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246F51DC" w14:textId="13769978" w:rsidR="00AE0FDB" w:rsidRDefault="00AE0FDB" w:rsidP="00AE0FDB">
    <w:pPr>
      <w:pStyle w:val="Koptekst"/>
      <w:tabs>
        <w:tab w:val="clear" w:pos="4536"/>
        <w:tab w:val="clear" w:pos="9072"/>
        <w:tab w:val="left" w:pos="11055"/>
      </w:tabs>
      <w:jc w:val="right"/>
    </w:pPr>
    <w:r>
      <w:rPr>
        <w:noProof/>
      </w:rPr>
      <w:drawing>
        <wp:inline distT="0" distB="0" distL="0" distR="0" wp14:anchorId="6A1EE5D6" wp14:editId="2625CEAD">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5DA429DB" w14:textId="77777777" w:rsidR="00AE0FDB" w:rsidRDefault="00AE0FDB" w:rsidP="00AE0FDB">
    <w:pPr>
      <w:pStyle w:val="Koptekst"/>
      <w:tabs>
        <w:tab w:val="clear" w:pos="4536"/>
        <w:tab w:val="clear" w:pos="9072"/>
        <w:tab w:val="left" w:pos="11055"/>
      </w:tabs>
    </w:pPr>
  </w:p>
  <w:p w14:paraId="5F8D75D1" w14:textId="4AF2DABE" w:rsidR="00FC1FF6" w:rsidRPr="00AE0FDB" w:rsidRDefault="00FC1FF6" w:rsidP="00AE0F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96423"/>
    <w:rsid w:val="000A7499"/>
    <w:rsid w:val="000F2C47"/>
    <w:rsid w:val="00100928"/>
    <w:rsid w:val="0010256B"/>
    <w:rsid w:val="0010674D"/>
    <w:rsid w:val="001100F0"/>
    <w:rsid w:val="00127083"/>
    <w:rsid w:val="0013533F"/>
    <w:rsid w:val="00175808"/>
    <w:rsid w:val="00195673"/>
    <w:rsid w:val="001D057E"/>
    <w:rsid w:val="001E3048"/>
    <w:rsid w:val="00224EBB"/>
    <w:rsid w:val="00267B36"/>
    <w:rsid w:val="002815D7"/>
    <w:rsid w:val="002D30EF"/>
    <w:rsid w:val="002D7B86"/>
    <w:rsid w:val="002F11BF"/>
    <w:rsid w:val="00307185"/>
    <w:rsid w:val="00392948"/>
    <w:rsid w:val="003960C5"/>
    <w:rsid w:val="003B0037"/>
    <w:rsid w:val="003C2669"/>
    <w:rsid w:val="003D6A2D"/>
    <w:rsid w:val="003F3102"/>
    <w:rsid w:val="003F7319"/>
    <w:rsid w:val="00426C71"/>
    <w:rsid w:val="004309CB"/>
    <w:rsid w:val="0043396D"/>
    <w:rsid w:val="00437D62"/>
    <w:rsid w:val="00457BBE"/>
    <w:rsid w:val="0046140A"/>
    <w:rsid w:val="00486F26"/>
    <w:rsid w:val="00492DF2"/>
    <w:rsid w:val="004B48BC"/>
    <w:rsid w:val="004D23DD"/>
    <w:rsid w:val="004D476B"/>
    <w:rsid w:val="005052FE"/>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F4F12"/>
    <w:rsid w:val="0070550A"/>
    <w:rsid w:val="0074599C"/>
    <w:rsid w:val="00751B75"/>
    <w:rsid w:val="00755899"/>
    <w:rsid w:val="007D1722"/>
    <w:rsid w:val="007D17B3"/>
    <w:rsid w:val="007E6A71"/>
    <w:rsid w:val="007F3BE5"/>
    <w:rsid w:val="007F45A9"/>
    <w:rsid w:val="0081632F"/>
    <w:rsid w:val="00825E46"/>
    <w:rsid w:val="00840BF4"/>
    <w:rsid w:val="00842F80"/>
    <w:rsid w:val="00857BDD"/>
    <w:rsid w:val="00866385"/>
    <w:rsid w:val="008774BC"/>
    <w:rsid w:val="0088671E"/>
    <w:rsid w:val="008C2FD5"/>
    <w:rsid w:val="00903A88"/>
    <w:rsid w:val="009149C5"/>
    <w:rsid w:val="00915591"/>
    <w:rsid w:val="00916C87"/>
    <w:rsid w:val="009340C5"/>
    <w:rsid w:val="009648D5"/>
    <w:rsid w:val="00977991"/>
    <w:rsid w:val="009A01C8"/>
    <w:rsid w:val="009D13CE"/>
    <w:rsid w:val="009D5296"/>
    <w:rsid w:val="00A04848"/>
    <w:rsid w:val="00A13E43"/>
    <w:rsid w:val="00A63146"/>
    <w:rsid w:val="00A91275"/>
    <w:rsid w:val="00A9140B"/>
    <w:rsid w:val="00A962F0"/>
    <w:rsid w:val="00AA4470"/>
    <w:rsid w:val="00AC4235"/>
    <w:rsid w:val="00AE0FDB"/>
    <w:rsid w:val="00AE6516"/>
    <w:rsid w:val="00B05B9D"/>
    <w:rsid w:val="00B217BB"/>
    <w:rsid w:val="00B264E9"/>
    <w:rsid w:val="00B4763F"/>
    <w:rsid w:val="00B533C2"/>
    <w:rsid w:val="00B5770F"/>
    <w:rsid w:val="00B770B6"/>
    <w:rsid w:val="00B83259"/>
    <w:rsid w:val="00BB4ABC"/>
    <w:rsid w:val="00BC14B7"/>
    <w:rsid w:val="00BD2AF8"/>
    <w:rsid w:val="00C47F0D"/>
    <w:rsid w:val="00C52CC2"/>
    <w:rsid w:val="00C55C10"/>
    <w:rsid w:val="00C631F2"/>
    <w:rsid w:val="00C667CF"/>
    <w:rsid w:val="00C72378"/>
    <w:rsid w:val="00C74FB2"/>
    <w:rsid w:val="00C857C6"/>
    <w:rsid w:val="00CA62E3"/>
    <w:rsid w:val="00CD3711"/>
    <w:rsid w:val="00CE5DD9"/>
    <w:rsid w:val="00CF6EF7"/>
    <w:rsid w:val="00D22051"/>
    <w:rsid w:val="00D343CB"/>
    <w:rsid w:val="00D45815"/>
    <w:rsid w:val="00D51122"/>
    <w:rsid w:val="00D70F7A"/>
    <w:rsid w:val="00D83B78"/>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C1FF6"/>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9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AFMDOC-129-11537</_dlc_DocId>
    <_dlc_DocIdUrl xmlns="dd62d345-e1f9-48ef-b6ff-7cdbbbf7a6ae">
      <Url>https://dms.stelan.nl/bedrijfsvoering/_layouts/15/DocIdRedir.aspx?ID=AFMDOC-129-11537</Url>
      <Description>AFMDOC-129-11537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B536726A-BBB6-4BCD-BC06-8BB8429470A9}">
  <ds:schemaRefs>
    <ds:schemaRef ds:uri="http://schemas.openxmlformats.org/officeDocument/2006/bibliography"/>
  </ds:schemaRefs>
</ds:datastoreItem>
</file>

<file path=customXml/itemProps2.xml><?xml version="1.0" encoding="utf-8"?>
<ds:datastoreItem xmlns:ds="http://schemas.openxmlformats.org/officeDocument/2006/customXml" ds:itemID="{AB455FD2-DE12-4D8B-94A2-1C18C7CEECA4}"/>
</file>

<file path=customXml/itemProps3.xml><?xml version="1.0" encoding="utf-8"?>
<ds:datastoreItem xmlns:ds="http://schemas.openxmlformats.org/officeDocument/2006/customXml" ds:itemID="{892F1C73-CAFB-4E2A-8EAE-DFB96EC6DBA9}"/>
</file>

<file path=customXml/itemProps4.xml><?xml version="1.0" encoding="utf-8"?>
<ds:datastoreItem xmlns:ds="http://schemas.openxmlformats.org/officeDocument/2006/customXml" ds:itemID="{A4B56472-1D30-4908-B38F-3E63EE6707CF}"/>
</file>

<file path=customXml/itemProps5.xml><?xml version="1.0" encoding="utf-8"?>
<ds:datastoreItem xmlns:ds="http://schemas.openxmlformats.org/officeDocument/2006/customXml" ds:itemID="{758273C0-8186-463F-B949-C57DA8A85CAA}"/>
</file>

<file path=customXml/itemProps6.xml><?xml version="1.0" encoding="utf-8"?>
<ds:datastoreItem xmlns:ds="http://schemas.openxmlformats.org/officeDocument/2006/customXml" ds:itemID="{A4D42532-FDB5-4D4C-951C-E5EFDCA9B538}"/>
</file>

<file path=customXml/itemProps7.xml><?xml version="1.0" encoding="utf-8"?>
<ds:datastoreItem xmlns:ds="http://schemas.openxmlformats.org/officeDocument/2006/customXml" ds:itemID="{8745FAE8-FE02-4CFB-8C2B-39348A9A5C00}"/>
</file>

<file path=docProps/app.xml><?xml version="1.0" encoding="utf-8"?>
<Properties xmlns="http://schemas.openxmlformats.org/officeDocument/2006/extended-properties" xmlns:vt="http://schemas.openxmlformats.org/officeDocument/2006/docPropsVTypes">
  <Template>Normal.dotm</Template>
  <TotalTime>0</TotalTime>
  <Pages>10</Pages>
  <Words>1705</Words>
  <Characters>8577</Characters>
  <Application>Microsoft Office Word</Application>
  <DocSecurity>0</DocSecurity>
  <Lines>428</Lines>
  <Paragraphs>380</Paragraphs>
  <ScaleCrop>false</ScaleCrop>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2021-06-13T15:33:00Z</dcterms:created>
  <dcterms:modified xsi:type="dcterms:W3CDTF">2021-06-13T15:33:00Z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bc618d51-d5f8-4c4b-8a04-820bbe095219</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